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4A236" w14:textId="77777777" w:rsidR="0083359A" w:rsidRDefault="0083359A" w:rsidP="0083359A">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8AFB86D" w14:textId="77777777" w:rsidR="0083359A" w:rsidRDefault="0083359A" w:rsidP="0083359A">
      <w:pPr>
        <w:widowControl w:val="0"/>
        <w:bidi/>
        <w:spacing w:after="0"/>
        <w:jc w:val="center"/>
        <w:rPr>
          <w:rFonts w:cs="B Mitra"/>
          <w:b/>
          <w:bCs/>
          <w:sz w:val="32"/>
          <w:szCs w:val="32"/>
          <w:rtl/>
          <w:lang w:bidi="fa-IR"/>
        </w:rPr>
      </w:pPr>
      <w:r>
        <w:rPr>
          <w:rFonts w:cs="B Mitra" w:hint="cs"/>
          <w:b/>
          <w:bCs/>
          <w:sz w:val="32"/>
          <w:szCs w:val="32"/>
          <w:rtl/>
          <w:lang w:bidi="fa-IR"/>
        </w:rPr>
        <w:t>تقریر بحث فقه</w:t>
      </w:r>
    </w:p>
    <w:p w14:paraId="4842FA06" w14:textId="77777777" w:rsidR="0083359A" w:rsidRDefault="0083359A" w:rsidP="0083359A">
      <w:pPr>
        <w:widowControl w:val="0"/>
        <w:bidi/>
        <w:spacing w:after="0"/>
        <w:jc w:val="center"/>
        <w:rPr>
          <w:rFonts w:cs="B Mitra"/>
          <w:b/>
          <w:bCs/>
          <w:sz w:val="32"/>
          <w:szCs w:val="32"/>
          <w:rtl/>
          <w:lang w:bidi="fa-IR"/>
        </w:rPr>
      </w:pPr>
      <w:r>
        <w:rPr>
          <w:rFonts w:cs="B Mitra" w:hint="cs"/>
          <w:b/>
          <w:bCs/>
          <w:sz w:val="32"/>
          <w:szCs w:val="32"/>
          <w:rtl/>
          <w:lang w:bidi="fa-IR"/>
        </w:rPr>
        <w:t>جلسه 823</w:t>
      </w:r>
    </w:p>
    <w:p w14:paraId="4C7E9C82" w14:textId="77777777" w:rsidR="0083359A" w:rsidRDefault="0083359A" w:rsidP="0083359A">
      <w:pPr>
        <w:widowControl w:val="0"/>
        <w:bidi/>
        <w:spacing w:after="0"/>
        <w:ind w:firstLine="284"/>
        <w:jc w:val="both"/>
        <w:rPr>
          <w:rFonts w:cs="Abz-2 (Badr)"/>
          <w:sz w:val="28"/>
          <w:szCs w:val="28"/>
          <w:rtl/>
          <w:lang w:bidi="fa-IR"/>
        </w:rPr>
      </w:pPr>
      <w:bookmarkStart w:id="0" w:name="_Hlk159096966"/>
    </w:p>
    <w:bookmarkEnd w:id="0"/>
    <w:p w14:paraId="30470962" w14:textId="77777777" w:rsidR="0083359A" w:rsidRDefault="0083359A" w:rsidP="0083359A">
      <w:pPr>
        <w:pStyle w:val="NormalWeb"/>
        <w:widowControl w:val="0"/>
        <w:bidi/>
        <w:spacing w:before="0" w:beforeAutospacing="0" w:after="0" w:afterAutospacing="0" w:line="256"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با توجه به مطالبی که گذشت، وجه مدعای شهيد ثانی در خصوص موردی که مادر مرض مزمنی داشته باشد، معلوم می</w:t>
      </w:r>
      <w:r>
        <w:rPr>
          <w:rFonts w:cs="Abz-2 (Badr)" w:hint="cs"/>
          <w:color w:val="000000" w:themeColor="text1"/>
          <w:sz w:val="28"/>
          <w:szCs w:val="28"/>
          <w:rtl/>
          <w:lang w:bidi="fa-IR"/>
        </w:rPr>
        <w:softHyphen/>
        <w:t>شود، زيرا همان گونه که ايشان فرموده</w:t>
      </w:r>
      <w:r>
        <w:rPr>
          <w:rFonts w:cs="Abz-2 (Badr)" w:hint="cs"/>
          <w:color w:val="000000" w:themeColor="text1"/>
          <w:sz w:val="28"/>
          <w:szCs w:val="28"/>
          <w:rtl/>
          <w:lang w:bidi="fa-IR"/>
        </w:rPr>
        <w:softHyphen/>
        <w:t>اند، فرق مريض با مجنون در اين است که مريض توانايی اين را که نظارت بر حضانت طفل داشته باشد و برای انجام اعمالی که لازم است، کسی را اجير کند تا زير نظر او آن اعمال را بجا آورد، داراست و سابقاً گفتيم که مراد از مباشرت در حضانت، اين نيست که خود حاضن جميع امور مربوط به حضانت را بجا آورد، بلکه اگر آن امور زير نظر او نيز بجا آورده شوند، مانعی ندارد.</w:t>
      </w:r>
    </w:p>
    <w:p w14:paraId="303FCC7E" w14:textId="77777777" w:rsidR="0083359A" w:rsidRDefault="0083359A" w:rsidP="0083359A">
      <w:pPr>
        <w:pStyle w:val="NormalWeb"/>
        <w:widowControl w:val="0"/>
        <w:bidi/>
        <w:spacing w:before="0" w:beforeAutospacing="0" w:after="0" w:afterAutospacing="0" w:line="256"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 xml:space="preserve"> اين در حالی است که مجنون فاقد چنين توانی است، فلذا نمی</w:t>
      </w:r>
      <w:r>
        <w:rPr>
          <w:rFonts w:cs="Abz-2 (Badr)" w:hint="cs"/>
          <w:color w:val="000000" w:themeColor="text1"/>
          <w:sz w:val="28"/>
          <w:szCs w:val="28"/>
          <w:rtl/>
          <w:lang w:bidi="fa-IR"/>
        </w:rPr>
        <w:softHyphen/>
        <w:t>توان وی را واجد حق حضانت دانست.</w:t>
      </w:r>
    </w:p>
    <w:p w14:paraId="1A94DA16" w14:textId="77777777" w:rsidR="0083359A" w:rsidRDefault="0083359A" w:rsidP="0083359A">
      <w:pPr>
        <w:pStyle w:val="NormalWeb"/>
        <w:widowControl w:val="0"/>
        <w:bidi/>
        <w:spacing w:before="0" w:beforeAutospacing="0" w:after="0" w:afterAutospacing="0" w:line="256" w:lineRule="auto"/>
        <w:ind w:firstLine="284"/>
        <w:jc w:val="both"/>
        <w:rPr>
          <w:rFonts w:cs="Abz-2 (Badr)"/>
          <w:color w:val="0070C0"/>
          <w:sz w:val="28"/>
          <w:szCs w:val="28"/>
          <w:rtl/>
          <w:lang w:bidi="fa-IR"/>
        </w:rPr>
      </w:pPr>
      <w:r>
        <w:rPr>
          <w:rFonts w:cs="Abz-2 (Badr)" w:hint="cs"/>
          <w:color w:val="000000" w:themeColor="text1"/>
          <w:sz w:val="28"/>
          <w:szCs w:val="28"/>
          <w:rtl/>
          <w:lang w:bidi="fa-IR"/>
        </w:rPr>
        <w:t>اما شهيد اول در قواعد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rPr>
        <w:t>لو كان بها جذام أو برص وخيف العدوى، أمكن كون الأب أولى، لقوله(ص): «فرّ من المجذوم فرارك من الأسد»</w:t>
      </w:r>
      <w:r>
        <w:rPr>
          <w:rFonts w:cs="Abz-2 (Badr)"/>
          <w:color w:val="000000" w:themeColor="text1"/>
          <w:sz w:val="28"/>
          <w:szCs w:val="28"/>
          <w:vertAlign w:val="superscript"/>
          <w:rtl/>
          <w:lang w:bidi="ar"/>
        </w:rPr>
        <w:footnoteReference w:id="1"/>
      </w:r>
      <w:r>
        <w:rPr>
          <w:rFonts w:cs="Abz-2 (Badr)" w:hint="cs"/>
          <w:color w:val="0070C0"/>
          <w:sz w:val="28"/>
          <w:szCs w:val="28"/>
          <w:rtl/>
          <w:lang w:bidi="ar"/>
        </w:rPr>
        <w:t xml:space="preserve"> </w:t>
      </w:r>
      <w:r>
        <w:rPr>
          <w:rFonts w:cs="Abz-2 (Badr)" w:hint="cs"/>
          <w:color w:val="0070C0"/>
          <w:sz w:val="28"/>
          <w:szCs w:val="28"/>
          <w:rtl/>
        </w:rPr>
        <w:t>وقوله(ص): «لا يورد ممرض على مصحّ»</w:t>
      </w:r>
      <w:r>
        <w:rPr>
          <w:rFonts w:cs="Abz-2 (Badr)"/>
          <w:color w:val="000000" w:themeColor="text1"/>
          <w:sz w:val="28"/>
          <w:szCs w:val="28"/>
          <w:vertAlign w:val="superscript"/>
          <w:rtl/>
          <w:lang w:bidi="ar"/>
        </w:rPr>
        <w:footnoteReference w:id="2"/>
      </w:r>
      <w:r>
        <w:rPr>
          <w:rFonts w:cs="Abz-2 (Badr)" w:hint="cs"/>
          <w:color w:val="0070C0"/>
          <w:sz w:val="28"/>
          <w:szCs w:val="28"/>
          <w:rtl/>
        </w:rPr>
        <w:t>.</w:t>
      </w:r>
    </w:p>
    <w:p w14:paraId="5B7F4F70" w14:textId="77777777" w:rsidR="0083359A" w:rsidRDefault="0083359A" w:rsidP="0083359A">
      <w:pPr>
        <w:pStyle w:val="NormalWeb"/>
        <w:widowControl w:val="0"/>
        <w:bidi/>
        <w:spacing w:before="0" w:beforeAutospacing="0" w:after="0" w:afterAutospacing="0" w:line="256" w:lineRule="auto"/>
        <w:ind w:firstLine="284"/>
        <w:jc w:val="both"/>
        <w:rPr>
          <w:rFonts w:cs="Abz-2 (Badr)"/>
          <w:color w:val="0070C0"/>
          <w:sz w:val="28"/>
          <w:szCs w:val="28"/>
          <w:lang w:bidi="fa-IR"/>
        </w:rPr>
      </w:pPr>
      <w:r>
        <w:rPr>
          <w:rFonts w:cs="Abz-2 (Badr)" w:hint="cs"/>
          <w:color w:val="0070C0"/>
          <w:sz w:val="28"/>
          <w:szCs w:val="28"/>
          <w:rtl/>
        </w:rPr>
        <w:t>ويحتمل بقاء حضانتها، لقوله(ص): «لا عدوى ولا طيرة</w:t>
      </w:r>
      <w:r>
        <w:rPr>
          <w:rFonts w:cs="Abz-2 (Badr)" w:hint="cs"/>
          <w:color w:val="0070C0"/>
          <w:sz w:val="28"/>
          <w:szCs w:val="28"/>
          <w:rtl/>
          <w:lang w:bidi="fa-IR"/>
        </w:rPr>
        <w:t>»</w:t>
      </w:r>
      <w:r>
        <w:rPr>
          <w:rFonts w:cs="Abz-2 (Badr)"/>
          <w:color w:val="000000" w:themeColor="text1"/>
          <w:sz w:val="28"/>
          <w:szCs w:val="28"/>
          <w:vertAlign w:val="superscript"/>
          <w:rtl/>
          <w:lang w:bidi="ar"/>
        </w:rPr>
        <w:footnoteReference w:id="3"/>
      </w:r>
      <w:r>
        <w:rPr>
          <w:rFonts w:cs="Abz-2 (Badr)" w:hint="cs"/>
          <w:color w:val="0070C0"/>
          <w:sz w:val="28"/>
          <w:szCs w:val="28"/>
          <w:rtl/>
          <w:lang w:bidi="fa-IR"/>
        </w:rPr>
        <w:t>.</w:t>
      </w:r>
    </w:p>
    <w:p w14:paraId="3E176689" w14:textId="77777777" w:rsidR="0083359A" w:rsidRDefault="0083359A" w:rsidP="0083359A">
      <w:pPr>
        <w:pStyle w:val="NormalWeb"/>
        <w:widowControl w:val="0"/>
        <w:bidi/>
        <w:spacing w:before="0" w:beforeAutospacing="0" w:after="0" w:afterAutospacing="0" w:line="256" w:lineRule="auto"/>
        <w:ind w:firstLine="284"/>
        <w:jc w:val="both"/>
        <w:rPr>
          <w:rFonts w:cs="Abz-2 (Badr)"/>
          <w:color w:val="000000" w:themeColor="text1"/>
          <w:sz w:val="28"/>
          <w:szCs w:val="28"/>
          <w:lang w:bidi="fa-IR"/>
        </w:rPr>
      </w:pPr>
      <w:r>
        <w:rPr>
          <w:rFonts w:cs="Abz-2 (Badr)" w:hint="cs"/>
          <w:color w:val="0070C0"/>
          <w:sz w:val="28"/>
          <w:szCs w:val="28"/>
          <w:rtl/>
        </w:rPr>
        <w:t>ووجه الجمع بين الأخبار الحمل على أنّ ذلك لا يحصل بالطبع، كاعتقاد المعطّلة والجاهليّة، وإن جاز أنّ الله تعالى يخلق ذلك المرض عند المخالطة.»</w:t>
      </w:r>
      <w:r>
        <w:rPr>
          <w:rFonts w:cs="Abz-2 (Badr)"/>
          <w:color w:val="000000" w:themeColor="text1"/>
          <w:sz w:val="28"/>
          <w:szCs w:val="28"/>
          <w:vertAlign w:val="superscript"/>
          <w:rtl/>
          <w:lang w:bidi="ar"/>
        </w:rPr>
        <w:footnoteReference w:id="4"/>
      </w:r>
    </w:p>
    <w:p w14:paraId="22C5705C" w14:textId="77777777" w:rsidR="0083359A" w:rsidRDefault="0083359A" w:rsidP="0083359A">
      <w:pPr>
        <w:pStyle w:val="NormalWeb"/>
        <w:widowControl w:val="0"/>
        <w:bidi/>
        <w:spacing w:before="0" w:beforeAutospacing="0" w:after="0" w:afterAutospacing="0" w:line="256" w:lineRule="auto"/>
        <w:ind w:firstLine="284"/>
        <w:jc w:val="both"/>
        <w:rPr>
          <w:rFonts w:cs="Abz-2 (Badr)"/>
          <w:color w:val="000000" w:themeColor="text1"/>
          <w:sz w:val="28"/>
          <w:szCs w:val="28"/>
        </w:rPr>
      </w:pPr>
      <w:r>
        <w:rPr>
          <w:rFonts w:cs="Abz-2 (Badr)" w:hint="cs"/>
          <w:color w:val="000000" w:themeColor="text1"/>
          <w:sz w:val="28"/>
          <w:szCs w:val="28"/>
          <w:rtl/>
        </w:rPr>
        <w:t>اما صاحب جواهر در اين مدعا نيز اشکال گرفته و می</w:t>
      </w:r>
      <w:r>
        <w:rPr>
          <w:rFonts w:cs="Abz-2 (Badr)" w:hint="cs"/>
          <w:color w:val="000000" w:themeColor="text1"/>
          <w:sz w:val="28"/>
          <w:szCs w:val="28"/>
          <w:rtl/>
        </w:rPr>
        <w:softHyphen/>
        <w:t xml:space="preserve">فرمايد: اين مدعا مخالف اطلاق ادله است، مضافاً بر اين که </w:t>
      </w:r>
      <w:r>
        <w:rPr>
          <w:rFonts w:cs="Abz-2 (Badr)" w:hint="cs"/>
          <w:color w:val="000000" w:themeColor="text1"/>
          <w:sz w:val="28"/>
          <w:szCs w:val="28"/>
          <w:rtl/>
        </w:rPr>
        <w:lastRenderedPageBreak/>
        <w:t>حاضن می</w:t>
      </w:r>
      <w:r>
        <w:rPr>
          <w:rFonts w:cs="Abz-2 (Badr)" w:hint="cs"/>
          <w:color w:val="000000" w:themeColor="text1"/>
          <w:sz w:val="28"/>
          <w:szCs w:val="28"/>
          <w:rtl/>
        </w:rPr>
        <w:softHyphen/>
        <w:t>تواند با به کار گيری افراد سالم به نحوی که خطری فرزند را تحديد نکند، حضانت او را بر عهده بگيرد.</w:t>
      </w:r>
      <w:r>
        <w:rPr>
          <w:rFonts w:cs="Abz-2 (Badr)"/>
          <w:color w:val="000000" w:themeColor="text1"/>
          <w:sz w:val="28"/>
          <w:szCs w:val="28"/>
          <w:vertAlign w:val="superscript"/>
          <w:rtl/>
          <w:lang w:bidi="ar"/>
        </w:rPr>
        <w:footnoteReference w:id="5"/>
      </w:r>
    </w:p>
    <w:p w14:paraId="0B74440E" w14:textId="77777777" w:rsidR="0083359A" w:rsidRDefault="0083359A" w:rsidP="0083359A">
      <w:pPr>
        <w:pStyle w:val="NormalWeb"/>
        <w:widowControl w:val="0"/>
        <w:bidi/>
        <w:spacing w:before="0" w:beforeAutospacing="0" w:after="0" w:afterAutospacing="0" w:line="256" w:lineRule="auto"/>
        <w:ind w:firstLine="284"/>
        <w:jc w:val="both"/>
        <w:rPr>
          <w:rFonts w:cs="Abz-2 (Badr)"/>
          <w:color w:val="000000" w:themeColor="text1"/>
          <w:sz w:val="28"/>
          <w:szCs w:val="28"/>
          <w:rtl/>
        </w:rPr>
      </w:pPr>
      <w:r>
        <w:rPr>
          <w:rFonts w:cs="Abz-2 (Badr)" w:hint="cs"/>
          <w:color w:val="000000" w:themeColor="text1"/>
          <w:sz w:val="28"/>
          <w:szCs w:val="28"/>
          <w:rtl/>
        </w:rPr>
        <w:t>اشکال اول ايشان پاسخ واضحی دارد، زيرا همان گونه که گفتيم، در ادله حضانت اطلاقی وجود ندارد که شامل موردی شود که حضانت حاضن سبب شود که محضون متضرر شده و در خطر واقع شود.</w:t>
      </w:r>
    </w:p>
    <w:p w14:paraId="06637D45" w14:textId="77777777" w:rsidR="0083359A" w:rsidRDefault="0083359A" w:rsidP="0083359A">
      <w:pPr>
        <w:pStyle w:val="NormalWeb"/>
        <w:widowControl w:val="0"/>
        <w:bidi/>
        <w:spacing w:before="0" w:beforeAutospacing="0" w:after="0" w:afterAutospacing="0" w:line="256" w:lineRule="auto"/>
        <w:ind w:firstLine="284"/>
        <w:jc w:val="both"/>
        <w:rPr>
          <w:rFonts w:cs="Abz-2 (Badr)"/>
          <w:color w:val="000000" w:themeColor="text1"/>
          <w:sz w:val="28"/>
          <w:szCs w:val="28"/>
          <w:rtl/>
        </w:rPr>
      </w:pPr>
      <w:r>
        <w:rPr>
          <w:rFonts w:cs="Abz-2 (Badr)" w:hint="cs"/>
          <w:color w:val="000000" w:themeColor="text1"/>
          <w:sz w:val="28"/>
          <w:szCs w:val="28"/>
          <w:rtl/>
        </w:rPr>
        <w:t>ولی اشکال دوم ايشان وارد است و می</w:t>
      </w:r>
      <w:r>
        <w:rPr>
          <w:rFonts w:cs="Abz-2 (Badr)" w:hint="cs"/>
          <w:color w:val="000000" w:themeColor="text1"/>
          <w:sz w:val="28"/>
          <w:szCs w:val="28"/>
          <w:rtl/>
        </w:rPr>
        <w:softHyphen/>
        <w:t>توان مدعای شهيد اول را مقيّد به موردی نمود که امکان دفع خطر به نحوی که فرزند در امان بماند وجود نداشته باشد.</w:t>
      </w:r>
    </w:p>
    <w:p w14:paraId="31C96BAD" w14:textId="77777777" w:rsidR="0083359A" w:rsidRDefault="0083359A" w:rsidP="0083359A">
      <w:pPr>
        <w:pStyle w:val="NormalWeb"/>
        <w:widowControl w:val="0"/>
        <w:bidi/>
        <w:spacing w:before="0" w:beforeAutospacing="0" w:after="0" w:afterAutospacing="0" w:line="256" w:lineRule="auto"/>
        <w:ind w:firstLine="284"/>
        <w:jc w:val="both"/>
        <w:rPr>
          <w:rFonts w:cs="Abz-2 (Badr)"/>
          <w:color w:val="FF0000"/>
          <w:sz w:val="28"/>
          <w:szCs w:val="28"/>
          <w:rtl/>
        </w:rPr>
      </w:pPr>
      <w:r>
        <w:rPr>
          <w:rFonts w:cs="Abz-2 (Badr)" w:hint="cs"/>
          <w:color w:val="FF0000"/>
          <w:sz w:val="28"/>
          <w:szCs w:val="28"/>
          <w:rtl/>
        </w:rPr>
        <w:t>مورد چهارم: فسق مادر</w:t>
      </w:r>
    </w:p>
    <w:p w14:paraId="17349AC0" w14:textId="77777777" w:rsidR="0083359A" w:rsidRDefault="0083359A" w:rsidP="0083359A">
      <w:pPr>
        <w:pStyle w:val="NormalWeb"/>
        <w:widowControl w:val="0"/>
        <w:bidi/>
        <w:spacing w:before="0" w:beforeAutospacing="0" w:after="0" w:afterAutospacing="0" w:line="26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اين شرط اختصاص به مادر ندارد و در مورد پدر نيز جاری است؛ فلذا شيخ در مبسوط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إن كان أحدهما عدلاً والآخر فاسقاً، فالعدل أحقّ به بكلّ حال، لأنّ الفاسق ربما فتنه عن دينه.»</w:t>
      </w:r>
      <w:r>
        <w:rPr>
          <w:rFonts w:cs="Abz-2 (Badr)"/>
          <w:color w:val="000000" w:themeColor="text1"/>
          <w:sz w:val="28"/>
          <w:szCs w:val="28"/>
          <w:vertAlign w:val="superscript"/>
          <w:rtl/>
          <w:lang w:bidi="ar"/>
        </w:rPr>
        <w:footnoteReference w:id="6"/>
      </w:r>
    </w:p>
    <w:p w14:paraId="5821757D" w14:textId="77777777" w:rsidR="0083359A" w:rsidRDefault="0083359A" w:rsidP="0083359A">
      <w:pPr>
        <w:pStyle w:val="NormalWeb"/>
        <w:widowControl w:val="0"/>
        <w:bidi/>
        <w:spacing w:before="0" w:beforeAutospacing="0" w:after="0" w:afterAutospacing="0" w:line="26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علامه نيز هرچند در تحرير فسق را سبب سقوط حق حضانت پدر برشمرده است</w:t>
      </w:r>
      <w:r>
        <w:rPr>
          <w:rFonts w:cs="Abz-2 (Badr)"/>
          <w:color w:val="000000" w:themeColor="text1"/>
          <w:sz w:val="28"/>
          <w:szCs w:val="28"/>
          <w:vertAlign w:val="superscript"/>
          <w:rtl/>
          <w:lang w:bidi="ar"/>
        </w:rPr>
        <w:footnoteReference w:id="7"/>
      </w:r>
      <w:r>
        <w:rPr>
          <w:rFonts w:cs="Abz-2 (Badr)" w:hint="cs"/>
          <w:color w:val="000000" w:themeColor="text1"/>
          <w:sz w:val="28"/>
          <w:szCs w:val="28"/>
          <w:rtl/>
          <w:lang w:bidi="fa-IR"/>
        </w:rPr>
        <w:t>، اما در قواعد اعتبار عدالت را در حضانت مادر انکار کرده است</w:t>
      </w:r>
      <w:r>
        <w:rPr>
          <w:rFonts w:cs="Abz-2 (Badr)"/>
          <w:color w:val="000000" w:themeColor="text1"/>
          <w:sz w:val="28"/>
          <w:szCs w:val="28"/>
          <w:vertAlign w:val="superscript"/>
          <w:rtl/>
          <w:lang w:bidi="ar"/>
        </w:rPr>
        <w:footnoteReference w:id="8"/>
      </w:r>
      <w:r>
        <w:rPr>
          <w:rFonts w:cs="Abz-2 (Badr)" w:hint="cs"/>
          <w:color w:val="000000" w:themeColor="text1"/>
          <w:sz w:val="28"/>
          <w:szCs w:val="28"/>
          <w:rtl/>
          <w:lang w:bidi="fa-IR"/>
        </w:rPr>
        <w:t>.</w:t>
      </w:r>
    </w:p>
    <w:p w14:paraId="16A53007" w14:textId="77777777" w:rsidR="0083359A" w:rsidRDefault="0083359A" w:rsidP="0083359A">
      <w:pPr>
        <w:pStyle w:val="NormalWeb"/>
        <w:widowControl w:val="0"/>
        <w:bidi/>
        <w:spacing w:before="0" w:beforeAutospacing="0" w:after="0" w:afterAutospacing="0" w:line="26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اما شهيد اول در قواعد، از اين شرط تعبير به مأمونه بودن مادر کرده است و آن را در حق حضانت وی معتبر دانسته است.</w:t>
      </w:r>
      <w:r>
        <w:rPr>
          <w:rFonts w:cs="Abz-2 (Badr)"/>
          <w:color w:val="000000" w:themeColor="text1"/>
          <w:sz w:val="28"/>
          <w:szCs w:val="28"/>
          <w:vertAlign w:val="superscript"/>
          <w:rtl/>
          <w:lang w:bidi="ar"/>
        </w:rPr>
        <w:footnoteReference w:id="9"/>
      </w:r>
    </w:p>
    <w:p w14:paraId="5A303A6F" w14:textId="77777777" w:rsidR="0083359A" w:rsidRDefault="0083359A" w:rsidP="0083359A">
      <w:pPr>
        <w:pStyle w:val="NormalWeb"/>
        <w:widowControl w:val="0"/>
        <w:bidi/>
        <w:spacing w:before="0" w:beforeAutospacing="0" w:after="0" w:afterAutospacing="0" w:line="264" w:lineRule="auto"/>
        <w:ind w:firstLine="284"/>
        <w:jc w:val="both"/>
        <w:rPr>
          <w:rFonts w:cs="Abz-2 (Badr)"/>
          <w:color w:val="0070C0"/>
          <w:sz w:val="28"/>
          <w:szCs w:val="28"/>
          <w:rtl/>
          <w:lang w:bidi="fa-IR"/>
        </w:rPr>
      </w:pPr>
      <w:r>
        <w:rPr>
          <w:rFonts w:cs="Abz-2 (Badr)" w:hint="cs"/>
          <w:color w:val="000000" w:themeColor="text1"/>
          <w:sz w:val="28"/>
          <w:szCs w:val="28"/>
          <w:rtl/>
          <w:lang w:bidi="fa-IR"/>
        </w:rPr>
        <w:t>شهيد ثانی نيز در اين مطلب از شهيد اول تبعيت کرده است و در توجيه اعتبار مأمونه بودن مادر در حقّ حضانت وی و فرق آن با اعتبار عدالت وی در آن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«خامسها: أن تكون أمينة. فلا حضانة للفاسقة، لأنّ الفاسق لا يلي. ولأنّها لا تؤمن أن تخون في حفظه. ولأنّه لا حظّ له في حضانتها، لأنّه ينشأ على طريقتها، فنفس الولد كالأرض الخالية، ما أُلقي فيها من شيء قبلته.</w:t>
      </w:r>
    </w:p>
    <w:p w14:paraId="073E8F84" w14:textId="77777777" w:rsidR="0083359A" w:rsidRDefault="0083359A" w:rsidP="0083359A">
      <w:pPr>
        <w:pStyle w:val="NormalWeb"/>
        <w:widowControl w:val="0"/>
        <w:bidi/>
        <w:spacing w:before="0" w:beforeAutospacing="0" w:after="0" w:afterAutospacing="0" w:line="264" w:lineRule="auto"/>
        <w:ind w:firstLine="284"/>
        <w:jc w:val="both"/>
        <w:rPr>
          <w:rFonts w:cs="Abz-2 (Badr)"/>
          <w:color w:val="0070C0"/>
          <w:sz w:val="28"/>
          <w:szCs w:val="28"/>
          <w:lang w:bidi="fa-IR"/>
        </w:rPr>
      </w:pPr>
      <w:r>
        <w:rPr>
          <w:rFonts w:cs="Abz-2 (Badr)" w:hint="cs"/>
          <w:color w:val="0070C0"/>
          <w:sz w:val="28"/>
          <w:szCs w:val="28"/>
          <w:rtl/>
          <w:lang w:bidi="fa-IR"/>
        </w:rPr>
        <w:lastRenderedPageBreak/>
        <w:t>وهذا الشرط لم يذكره المصنّف... ويمكن الجمع بين عدم اشتراط العدالة مع اشتراط عدم الفسق لثبوت الواسطة عند الأكثر، ويجعل المانع ظهور الفسق، لما يترتّب عليه من الأخطار السابقة، بخلاف غيره من المستورين، وإن لم تظهر عدالته بالمعنى الذي اعتبره المتأخّرون.»</w:t>
      </w:r>
      <w:r>
        <w:rPr>
          <w:rFonts w:cs="Abz-2 (Badr)"/>
          <w:color w:val="000000" w:themeColor="text1"/>
          <w:sz w:val="28"/>
          <w:szCs w:val="28"/>
          <w:vertAlign w:val="superscript"/>
          <w:rtl/>
          <w:lang w:bidi="ar"/>
        </w:rPr>
        <w:footnoteReference w:id="10"/>
      </w:r>
    </w:p>
    <w:p w14:paraId="0614709B" w14:textId="77777777" w:rsidR="0083359A" w:rsidRDefault="0083359A" w:rsidP="0083359A">
      <w:pPr>
        <w:pStyle w:val="NormalWeb"/>
        <w:widowControl w:val="0"/>
        <w:bidi/>
        <w:spacing w:before="0" w:beforeAutospacing="0" w:after="0" w:afterAutospacing="0" w:line="264" w:lineRule="auto"/>
        <w:ind w:firstLine="284"/>
        <w:jc w:val="both"/>
        <w:rPr>
          <w:rFonts w:cs="Abz-2 (Badr)"/>
          <w:color w:val="0070C0"/>
          <w:sz w:val="28"/>
          <w:szCs w:val="28"/>
          <w:rtl/>
          <w:lang w:bidi="fa-IR"/>
        </w:rPr>
      </w:pPr>
      <w:r>
        <w:rPr>
          <w:rFonts w:cs="Abz-2 (Badr)" w:hint="cs"/>
          <w:color w:val="000000" w:themeColor="text1"/>
          <w:sz w:val="28"/>
          <w:szCs w:val="28"/>
          <w:rtl/>
          <w:lang w:bidi="fa-IR"/>
        </w:rPr>
        <w:t xml:space="preserve">در کشف اللثام نيز آمده است: </w:t>
      </w:r>
      <w:r>
        <w:rPr>
          <w:rFonts w:cs="Abz-2 (Badr)" w:hint="cs"/>
          <w:color w:val="0070C0"/>
          <w:sz w:val="28"/>
          <w:szCs w:val="28"/>
          <w:rtl/>
          <w:lang w:bidi="fa-IR"/>
        </w:rPr>
        <w:t xml:space="preserve">«الأقرب عدم اشتراط عدالتها ولا عدالته، وإنّما خصّها لما عرفت من أنّ‌ الولد للأب. </w:t>
      </w:r>
    </w:p>
    <w:p w14:paraId="59309FE2" w14:textId="77777777" w:rsidR="0083359A" w:rsidRDefault="0083359A" w:rsidP="0083359A">
      <w:pPr>
        <w:pStyle w:val="NormalWeb"/>
        <w:widowControl w:val="0"/>
        <w:bidi/>
        <w:spacing w:before="0" w:beforeAutospacing="0" w:after="0" w:afterAutospacing="0" w:line="264" w:lineRule="auto"/>
        <w:ind w:firstLine="284"/>
        <w:jc w:val="both"/>
        <w:rPr>
          <w:rFonts w:cs="Abz-2 (Badr)"/>
          <w:color w:val="0070C0"/>
          <w:sz w:val="28"/>
          <w:szCs w:val="28"/>
          <w:rtl/>
          <w:lang w:bidi="fa-IR"/>
        </w:rPr>
      </w:pPr>
      <w:r>
        <w:rPr>
          <w:rFonts w:cs="Abz-2 (Badr)" w:hint="cs"/>
          <w:color w:val="0070C0"/>
          <w:sz w:val="28"/>
          <w:szCs w:val="28"/>
          <w:rtl/>
          <w:lang w:bidi="fa-IR"/>
        </w:rPr>
        <w:t xml:space="preserve">فالمهمّ‌ بيان أنّه هل ينتزع منه ويدفع إلى الأُمّ‌ بدون العدالة‌؟ ووجه القرب إطلاق الأدلّة، وعموم الإشفاق. </w:t>
      </w:r>
    </w:p>
    <w:p w14:paraId="39727612" w14:textId="77777777" w:rsidR="0083359A" w:rsidRDefault="0083359A" w:rsidP="0083359A">
      <w:pPr>
        <w:pStyle w:val="NormalWeb"/>
        <w:widowControl w:val="0"/>
        <w:bidi/>
        <w:spacing w:before="0" w:beforeAutospacing="0" w:after="0" w:afterAutospacing="0" w:line="264" w:lineRule="auto"/>
        <w:ind w:firstLine="284"/>
        <w:jc w:val="both"/>
        <w:rPr>
          <w:rFonts w:cs="Abz-2 (Badr)"/>
          <w:color w:val="0070C0"/>
          <w:sz w:val="28"/>
          <w:szCs w:val="28"/>
          <w:rtl/>
          <w:lang w:bidi="fa-IR"/>
        </w:rPr>
      </w:pPr>
      <w:r>
        <w:rPr>
          <w:rFonts w:cs="Abz-2 (Badr)" w:hint="cs"/>
          <w:color w:val="0070C0"/>
          <w:sz w:val="28"/>
          <w:szCs w:val="28"/>
          <w:rtl/>
          <w:lang w:bidi="fa-IR"/>
        </w:rPr>
        <w:t>ويحتمل الاشتراط... لأنّها أمانة لا يليق بالفاسق، ولأنّه ربّما فتنه إن كان مميّزاً، ولا شبهة في اشتراط الأمانة فيما يتعلّق بالحضانة والتربية.»</w:t>
      </w:r>
      <w:r>
        <w:rPr>
          <w:rFonts w:cs="Abz-2 (Badr)"/>
          <w:color w:val="000000" w:themeColor="text1"/>
          <w:sz w:val="28"/>
          <w:szCs w:val="28"/>
          <w:vertAlign w:val="superscript"/>
          <w:rtl/>
          <w:lang w:bidi="ar"/>
        </w:rPr>
        <w:footnoteReference w:id="11"/>
      </w:r>
    </w:p>
    <w:p w14:paraId="772869A0" w14:textId="77777777" w:rsidR="0083359A" w:rsidRDefault="0083359A" w:rsidP="0083359A">
      <w:pPr>
        <w:pStyle w:val="NormalWeb"/>
        <w:widowControl w:val="0"/>
        <w:bidi/>
        <w:spacing w:before="0" w:beforeAutospacing="0" w:after="0" w:afterAutospacing="0" w:line="264" w:lineRule="auto"/>
        <w:ind w:firstLine="284"/>
        <w:jc w:val="both"/>
        <w:rPr>
          <w:rFonts w:cs="Abz-2 (Badr)"/>
          <w:color w:val="0070C0"/>
          <w:sz w:val="28"/>
          <w:szCs w:val="28"/>
          <w:rtl/>
          <w:lang w:bidi="fa-IR"/>
        </w:rPr>
      </w:pPr>
      <w:r>
        <w:rPr>
          <w:rFonts w:cs="Abz-2 (Badr)" w:hint="cs"/>
          <w:color w:val="000000" w:themeColor="text1"/>
          <w:sz w:val="28"/>
          <w:szCs w:val="28"/>
          <w:rtl/>
          <w:lang w:bidi="fa-IR"/>
        </w:rPr>
        <w:t>صاحب جواهر نيز در ردّ مدعای اعتبار عدم فسق مادر در حضانت وی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«قد عرفت أنّها ليست ولاية، مع أنّ منشأها الشفقة التي هي من لوازم طبيعة كلّ حيوان...</w:t>
      </w:r>
    </w:p>
    <w:p w14:paraId="64691E34" w14:textId="77777777" w:rsidR="0083359A" w:rsidRDefault="0083359A" w:rsidP="0083359A">
      <w:pPr>
        <w:pStyle w:val="NormalWeb"/>
        <w:widowControl w:val="0"/>
        <w:bidi/>
        <w:spacing w:before="0" w:beforeAutospacing="0" w:after="0" w:afterAutospacing="0" w:line="264" w:lineRule="auto"/>
        <w:ind w:firstLine="284"/>
        <w:jc w:val="both"/>
        <w:rPr>
          <w:rFonts w:cs="Abz-2 (Badr)"/>
          <w:color w:val="0070C0"/>
          <w:spacing w:val="-6"/>
          <w:sz w:val="28"/>
          <w:szCs w:val="28"/>
          <w:rtl/>
          <w:lang w:bidi="fa-IR"/>
        </w:rPr>
      </w:pPr>
      <w:r>
        <w:rPr>
          <w:rFonts w:cs="Abz-2 (Badr)" w:hint="cs"/>
          <w:color w:val="0070C0"/>
          <w:spacing w:val="-6"/>
          <w:sz w:val="28"/>
          <w:szCs w:val="28"/>
          <w:rtl/>
          <w:lang w:bidi="fa-IR"/>
        </w:rPr>
        <w:t>وفي المسالك... وفيه: أنّ مقتضى إطلاق الأدلّة أيضاً خلاف ذلك، خصوصاً مع غلبة الفسق في النساء. نعم، لو ظهر عدم ائتمان المرأة على الولد، أمكن حينئذٍ دعوى سقوط حضانتها وعدم شمول الإطلاقات لها، بل في كشف اللثام أنّه لا شبهة في ذلك.»</w:t>
      </w:r>
      <w:r>
        <w:rPr>
          <w:rFonts w:cs="Abz-2 (Badr)"/>
          <w:color w:val="000000" w:themeColor="text1"/>
          <w:sz w:val="28"/>
          <w:szCs w:val="28"/>
          <w:vertAlign w:val="superscript"/>
          <w:rtl/>
          <w:lang w:bidi="ar"/>
        </w:rPr>
        <w:footnoteReference w:id="12"/>
      </w:r>
    </w:p>
    <w:p w14:paraId="2FB88D21" w14:textId="77777777" w:rsidR="0083359A" w:rsidRDefault="0083359A" w:rsidP="0083359A">
      <w:pPr>
        <w:pStyle w:val="NormalWeb"/>
        <w:widowControl w:val="0"/>
        <w:bidi/>
        <w:spacing w:before="0" w:beforeAutospacing="0" w:after="0" w:afterAutospacing="0" w:line="26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بيان مبنای مختار در مسأله را به جلسه بعد موکول می</w:t>
      </w:r>
      <w:r>
        <w:rPr>
          <w:rFonts w:cs="Abz-2 (Badr)" w:hint="cs"/>
          <w:color w:val="000000" w:themeColor="text1"/>
          <w:sz w:val="28"/>
          <w:szCs w:val="28"/>
          <w:rtl/>
          <w:lang w:bidi="fa-IR"/>
        </w:rPr>
        <w:softHyphen/>
        <w:t>کنيم ان شاء الله.</w:t>
      </w:r>
    </w:p>
    <w:p w14:paraId="358854CE" w14:textId="2276C044" w:rsidR="0027088A" w:rsidRPr="0083359A" w:rsidRDefault="0027088A" w:rsidP="0083359A"/>
    <w:sectPr w:rsidR="0027088A" w:rsidRPr="0083359A" w:rsidSect="005A14A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47F25" w14:textId="77777777" w:rsidR="00364666" w:rsidRDefault="00364666" w:rsidP="00F71127">
      <w:pPr>
        <w:spacing w:after="0" w:line="240" w:lineRule="auto"/>
      </w:pPr>
      <w:r>
        <w:separator/>
      </w:r>
    </w:p>
  </w:endnote>
  <w:endnote w:type="continuationSeparator" w:id="0">
    <w:p w14:paraId="6415B1EC" w14:textId="77777777" w:rsidR="00364666" w:rsidRDefault="00364666"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CD9A" w14:textId="77777777" w:rsidR="0083359A" w:rsidRDefault="008335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F61F8" w14:textId="77777777" w:rsidR="0083359A" w:rsidRDefault="008335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D941A" w14:textId="77777777" w:rsidR="00364666" w:rsidRDefault="00364666" w:rsidP="00EE25C0">
      <w:pPr>
        <w:bidi/>
        <w:spacing w:after="0" w:line="240" w:lineRule="auto"/>
      </w:pPr>
      <w:r>
        <w:separator/>
      </w:r>
    </w:p>
  </w:footnote>
  <w:footnote w:type="continuationSeparator" w:id="0">
    <w:p w14:paraId="7CD2A7FD" w14:textId="77777777" w:rsidR="00364666" w:rsidRDefault="00364666" w:rsidP="00F71127">
      <w:pPr>
        <w:bidi/>
        <w:spacing w:after="0" w:line="240" w:lineRule="auto"/>
      </w:pPr>
      <w:r>
        <w:continuationSeparator/>
      </w:r>
    </w:p>
  </w:footnote>
  <w:footnote w:id="1">
    <w:p w14:paraId="560AF577" w14:textId="77777777" w:rsidR="0083359A" w:rsidRDefault="0083359A" w:rsidP="0083359A">
      <w:pPr>
        <w:pStyle w:val="FootnoteText"/>
        <w:bidi/>
        <w:jc w:val="both"/>
        <w:rPr>
          <w:rFonts w:cs="Abz-2 (Badr)"/>
          <w:lang w:bidi="fa-IR"/>
        </w:rPr>
      </w:pPr>
      <w:r>
        <w:rPr>
          <w:rStyle w:val="FootnoteReference"/>
          <w:rFonts w:cs="Abz-2 (Badr)"/>
        </w:rPr>
        <w:footnoteRef/>
      </w:r>
      <w:r>
        <w:rPr>
          <w:rFonts w:cs="Abz-2 (Badr)"/>
        </w:rPr>
        <w:t xml:space="preserve"> </w:t>
      </w:r>
      <w:r>
        <w:rPr>
          <w:rFonts w:cs="Abz-2 (Badr)" w:hint="cs"/>
          <w:rtl/>
        </w:rPr>
        <w:t>ـ بخاری،ج7،ص126،ح5707.</w:t>
      </w:r>
    </w:p>
  </w:footnote>
  <w:footnote w:id="2">
    <w:p w14:paraId="7D77C532" w14:textId="77777777" w:rsidR="0083359A" w:rsidRDefault="0083359A" w:rsidP="0083359A">
      <w:pPr>
        <w:pStyle w:val="FootnoteText"/>
        <w:bidi/>
        <w:jc w:val="both"/>
        <w:rPr>
          <w:rFonts w:cs="Abz-2 (Badr)"/>
          <w:rtl/>
          <w:lang w:bidi="fa-IR"/>
        </w:rPr>
      </w:pPr>
      <w:r>
        <w:rPr>
          <w:rStyle w:val="FootnoteReference"/>
          <w:rFonts w:cs="Abz-2 (Badr)"/>
        </w:rPr>
        <w:footnoteRef/>
      </w:r>
      <w:r>
        <w:rPr>
          <w:rFonts w:cs="Abz-2 (Badr)"/>
        </w:rPr>
        <w:t xml:space="preserve"> </w:t>
      </w:r>
      <w:r>
        <w:rPr>
          <w:rFonts w:cs="Abz-2 (Badr)" w:hint="cs"/>
          <w:rtl/>
        </w:rPr>
        <w:t>ـ بخاری،ج7،ص138،ح5770.</w:t>
      </w:r>
    </w:p>
  </w:footnote>
  <w:footnote w:id="3">
    <w:p w14:paraId="76D50FBD" w14:textId="77777777" w:rsidR="0083359A" w:rsidRDefault="0083359A" w:rsidP="0083359A">
      <w:pPr>
        <w:pStyle w:val="FootnoteText"/>
        <w:bidi/>
        <w:jc w:val="both"/>
        <w:rPr>
          <w:rFonts w:cs="Abz-2 (Badr)"/>
          <w:rtl/>
          <w:lang w:bidi="fa-IR"/>
        </w:rPr>
      </w:pPr>
      <w:r>
        <w:rPr>
          <w:rStyle w:val="FootnoteReference"/>
          <w:rFonts w:cs="Abz-2 (Badr)"/>
        </w:rPr>
        <w:footnoteRef/>
      </w:r>
      <w:r>
        <w:rPr>
          <w:rFonts w:cs="Abz-2 (Badr)"/>
        </w:rPr>
        <w:t xml:space="preserve"> </w:t>
      </w:r>
      <w:r>
        <w:rPr>
          <w:rFonts w:cs="Abz-2 (Badr)" w:hint="cs"/>
          <w:rtl/>
        </w:rPr>
        <w:t>ـ بخاری،ج7،ص126،ح5707.</w:t>
      </w:r>
    </w:p>
  </w:footnote>
  <w:footnote w:id="4">
    <w:p w14:paraId="66C9BA2C" w14:textId="77777777" w:rsidR="0083359A" w:rsidRDefault="0083359A" w:rsidP="0083359A">
      <w:pPr>
        <w:pStyle w:val="FootnoteText"/>
        <w:bidi/>
        <w:jc w:val="both"/>
        <w:rPr>
          <w:rFonts w:cs="Abz-2 (Badr)"/>
          <w:rtl/>
          <w:lang w:bidi="fa-IR"/>
        </w:rPr>
      </w:pPr>
      <w:r>
        <w:rPr>
          <w:rStyle w:val="FootnoteReference"/>
          <w:rFonts w:cs="Abz-2 (Badr)"/>
        </w:rPr>
        <w:footnoteRef/>
      </w:r>
      <w:r>
        <w:rPr>
          <w:rFonts w:cs="Abz-2 (Badr)"/>
        </w:rPr>
        <w:t xml:space="preserve"> </w:t>
      </w:r>
      <w:r>
        <w:rPr>
          <w:rFonts w:cs="Abz-2 (Badr)" w:hint="cs"/>
          <w:rtl/>
        </w:rPr>
        <w:t>ـ القواعد والفوائد،ج1،ص397.</w:t>
      </w:r>
    </w:p>
  </w:footnote>
  <w:footnote w:id="5">
    <w:p w14:paraId="63F81534" w14:textId="77777777" w:rsidR="0083359A" w:rsidRDefault="0083359A" w:rsidP="0083359A">
      <w:pPr>
        <w:pStyle w:val="FootnoteText"/>
        <w:bidi/>
        <w:jc w:val="both"/>
        <w:rPr>
          <w:rFonts w:cs="Abz-2 (Badr)"/>
          <w:rtl/>
          <w:lang w:bidi="fa-IR"/>
        </w:rPr>
      </w:pPr>
      <w:r>
        <w:rPr>
          <w:rStyle w:val="FootnoteReference"/>
          <w:rFonts w:cs="Abz-2 (Badr)"/>
        </w:rPr>
        <w:footnoteRef/>
      </w:r>
      <w:r>
        <w:rPr>
          <w:rFonts w:cs="Abz-2 (Badr)"/>
        </w:rPr>
        <w:t xml:space="preserve"> </w:t>
      </w:r>
      <w:r>
        <w:rPr>
          <w:rFonts w:cs="Abz-2 (Badr)" w:hint="cs"/>
          <w:rtl/>
        </w:rPr>
        <w:t>ـ جواهر،ج31،ص288.</w:t>
      </w:r>
    </w:p>
  </w:footnote>
  <w:footnote w:id="6">
    <w:p w14:paraId="3F526952" w14:textId="77777777" w:rsidR="0083359A" w:rsidRDefault="0083359A" w:rsidP="0083359A">
      <w:pPr>
        <w:pStyle w:val="FootnoteText"/>
        <w:bidi/>
        <w:jc w:val="both"/>
        <w:rPr>
          <w:rFonts w:cs="Abz-2 (Badr)"/>
          <w:rtl/>
          <w:lang w:bidi="fa-IR"/>
        </w:rPr>
      </w:pPr>
      <w:r>
        <w:rPr>
          <w:rStyle w:val="FootnoteReference"/>
          <w:rFonts w:cs="Abz-2 (Badr)"/>
        </w:rPr>
        <w:footnoteRef/>
      </w:r>
      <w:r>
        <w:rPr>
          <w:rFonts w:cs="Abz-2 (Badr)"/>
        </w:rPr>
        <w:t xml:space="preserve"> </w:t>
      </w:r>
      <w:r>
        <w:rPr>
          <w:rFonts w:cs="Abz-2 (Badr)" w:hint="cs"/>
          <w:rtl/>
        </w:rPr>
        <w:t>ـ مبسوط،ج6،ص40.</w:t>
      </w:r>
    </w:p>
  </w:footnote>
  <w:footnote w:id="7">
    <w:p w14:paraId="579F4B2D" w14:textId="77777777" w:rsidR="0083359A" w:rsidRDefault="0083359A" w:rsidP="0083359A">
      <w:pPr>
        <w:pStyle w:val="FootnoteText"/>
        <w:bidi/>
        <w:jc w:val="both"/>
        <w:rPr>
          <w:rFonts w:cs="Abz-2 (Badr)"/>
          <w:rtl/>
          <w:lang w:bidi="fa-IR"/>
        </w:rPr>
      </w:pPr>
      <w:r>
        <w:rPr>
          <w:rStyle w:val="FootnoteReference"/>
          <w:rFonts w:cs="Abz-2 (Badr)"/>
        </w:rPr>
        <w:footnoteRef/>
      </w:r>
      <w:r>
        <w:rPr>
          <w:rFonts w:cs="Abz-2 (Badr)"/>
        </w:rPr>
        <w:t xml:space="preserve"> </w:t>
      </w:r>
      <w:r>
        <w:rPr>
          <w:rFonts w:cs="Abz-2 (Badr)" w:hint="cs"/>
          <w:rtl/>
        </w:rPr>
        <w:t>ـ تحرير،ج4،ص14، مسألة 5294.</w:t>
      </w:r>
    </w:p>
  </w:footnote>
  <w:footnote w:id="8">
    <w:p w14:paraId="1513D5C4" w14:textId="77777777" w:rsidR="0083359A" w:rsidRDefault="0083359A" w:rsidP="0083359A">
      <w:pPr>
        <w:pStyle w:val="FootnoteText"/>
        <w:bidi/>
        <w:jc w:val="both"/>
        <w:rPr>
          <w:rFonts w:cs="Abz-2 (Badr)"/>
          <w:rtl/>
          <w:lang w:bidi="fa-IR"/>
        </w:rPr>
      </w:pPr>
      <w:r>
        <w:rPr>
          <w:rStyle w:val="FootnoteReference"/>
          <w:rFonts w:cs="Abz-2 (Badr)"/>
        </w:rPr>
        <w:footnoteRef/>
      </w:r>
      <w:r>
        <w:rPr>
          <w:rFonts w:cs="Abz-2 (Badr)"/>
        </w:rPr>
        <w:t xml:space="preserve"> </w:t>
      </w:r>
      <w:r>
        <w:rPr>
          <w:rFonts w:cs="Abz-2 (Badr)" w:hint="cs"/>
          <w:rtl/>
        </w:rPr>
        <w:t>ـ قواعد،ج3،ص102.</w:t>
      </w:r>
    </w:p>
  </w:footnote>
  <w:footnote w:id="9">
    <w:p w14:paraId="34FC8091" w14:textId="77777777" w:rsidR="0083359A" w:rsidRDefault="0083359A" w:rsidP="0083359A">
      <w:pPr>
        <w:pStyle w:val="FootnoteText"/>
        <w:bidi/>
        <w:jc w:val="both"/>
        <w:rPr>
          <w:rFonts w:cs="Abz-2 (Badr)"/>
          <w:rtl/>
          <w:lang w:bidi="fa-IR"/>
        </w:rPr>
      </w:pPr>
      <w:r>
        <w:rPr>
          <w:rStyle w:val="FootnoteReference"/>
          <w:rFonts w:cs="Abz-2 (Badr)"/>
        </w:rPr>
        <w:footnoteRef/>
      </w:r>
      <w:r>
        <w:rPr>
          <w:rFonts w:cs="Abz-2 (Badr)"/>
        </w:rPr>
        <w:t xml:space="preserve"> </w:t>
      </w:r>
      <w:r>
        <w:rPr>
          <w:rFonts w:cs="Abz-2 (Badr)" w:hint="cs"/>
          <w:rtl/>
        </w:rPr>
        <w:t>ـ القواعد والفوائد،ج1،ص396.</w:t>
      </w:r>
    </w:p>
  </w:footnote>
  <w:footnote w:id="10">
    <w:p w14:paraId="55DD15A3" w14:textId="77777777" w:rsidR="0083359A" w:rsidRDefault="0083359A" w:rsidP="0083359A">
      <w:pPr>
        <w:pStyle w:val="FootnoteText"/>
        <w:bidi/>
        <w:jc w:val="both"/>
        <w:rPr>
          <w:rFonts w:cs="Abz-2 (Badr)"/>
          <w:rtl/>
          <w:lang w:bidi="fa-IR"/>
        </w:rPr>
      </w:pPr>
      <w:r>
        <w:rPr>
          <w:rStyle w:val="FootnoteReference"/>
          <w:rFonts w:cs="Abz-2 (Badr)"/>
        </w:rPr>
        <w:footnoteRef/>
      </w:r>
      <w:r>
        <w:rPr>
          <w:rFonts w:cs="Abz-2 (Badr)"/>
        </w:rPr>
        <w:t xml:space="preserve"> </w:t>
      </w:r>
      <w:r>
        <w:rPr>
          <w:rFonts w:cs="Abz-2 (Badr)" w:hint="cs"/>
          <w:rtl/>
        </w:rPr>
        <w:t>ـ مسالك،ج8،ص424 و 425.</w:t>
      </w:r>
    </w:p>
  </w:footnote>
  <w:footnote w:id="11">
    <w:p w14:paraId="1D93FBB0" w14:textId="77777777" w:rsidR="0083359A" w:rsidRDefault="0083359A" w:rsidP="0083359A">
      <w:pPr>
        <w:pStyle w:val="FootnoteText"/>
        <w:bidi/>
        <w:jc w:val="both"/>
        <w:rPr>
          <w:rFonts w:cs="Abz-2 (Badr)"/>
          <w:rtl/>
          <w:lang w:bidi="fa-IR"/>
        </w:rPr>
      </w:pPr>
      <w:r>
        <w:rPr>
          <w:rStyle w:val="FootnoteReference"/>
          <w:rFonts w:cs="Abz-2 (Badr)"/>
        </w:rPr>
        <w:footnoteRef/>
      </w:r>
      <w:r>
        <w:rPr>
          <w:rFonts w:cs="Abz-2 (Badr)"/>
        </w:rPr>
        <w:t xml:space="preserve"> </w:t>
      </w:r>
      <w:r>
        <w:rPr>
          <w:rFonts w:cs="Abz-2 (Badr)" w:hint="cs"/>
          <w:rtl/>
        </w:rPr>
        <w:t>ـ کشف اللثام،ج7،ص556.</w:t>
      </w:r>
    </w:p>
  </w:footnote>
  <w:footnote w:id="12">
    <w:p w14:paraId="512B50E0" w14:textId="77777777" w:rsidR="0083359A" w:rsidRDefault="0083359A" w:rsidP="0083359A">
      <w:pPr>
        <w:pStyle w:val="FootnoteText"/>
        <w:bidi/>
        <w:jc w:val="both"/>
        <w:rPr>
          <w:rFonts w:cs="Abz-2 (Badr)"/>
          <w:rtl/>
          <w:lang w:bidi="fa-IR"/>
        </w:rPr>
      </w:pPr>
      <w:r>
        <w:rPr>
          <w:rStyle w:val="FootnoteReference"/>
          <w:rFonts w:cs="Abz-2 (Badr)"/>
        </w:rPr>
        <w:footnoteRef/>
      </w:r>
      <w:r>
        <w:rPr>
          <w:rFonts w:cs="Abz-2 (Badr)"/>
        </w:rPr>
        <w:t xml:space="preserve"> </w:t>
      </w:r>
      <w:r>
        <w:rPr>
          <w:rFonts w:cs="Abz-2 (Badr)" w:hint="cs"/>
          <w:rtl/>
        </w:rPr>
        <w:t>ـ جواهر،ج31،ص289.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6099F" w14:textId="77777777" w:rsidR="0083359A" w:rsidRDefault="008335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1792AD78"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FA29AA">
                            <w:rPr>
                              <w:rFonts w:cs="B Mehr" w:hint="cs"/>
                              <w:rtl/>
                              <w:lang w:bidi="fa-IR"/>
                            </w:rPr>
                            <w:t>یک</w:t>
                          </w:r>
                          <w:r w:rsidR="00615E80">
                            <w:rPr>
                              <w:rFonts w:cs="B Mehr" w:hint="cs"/>
                              <w:rtl/>
                              <w:lang w:bidi="fa-IR"/>
                            </w:rPr>
                            <w:t>شنبه</w:t>
                          </w:r>
                          <w:r>
                            <w:rPr>
                              <w:rFonts w:cs="B Mehr" w:hint="cs"/>
                              <w:rtl/>
                              <w:lang w:bidi="fa-IR"/>
                            </w:rPr>
                            <w:t xml:space="preserve"> </w:t>
                          </w:r>
                          <w:r>
                            <w:rPr>
                              <w:rFonts w:cs="B Mehr" w:hint="cs"/>
                              <w:rtl/>
                            </w:rPr>
                            <w:t xml:space="preserve">،   </w:t>
                          </w:r>
                          <w:r w:rsidR="0083359A">
                            <w:rPr>
                              <w:rFonts w:cs="B Mehr" w:hint="cs"/>
                              <w:rtl/>
                            </w:rPr>
                            <w:t>21</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1792AD78"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FA29AA">
                      <w:rPr>
                        <w:rFonts w:cs="B Mehr" w:hint="cs"/>
                        <w:rtl/>
                        <w:lang w:bidi="fa-IR"/>
                      </w:rPr>
                      <w:t>یک</w:t>
                    </w:r>
                    <w:r w:rsidR="00615E80">
                      <w:rPr>
                        <w:rFonts w:cs="B Mehr" w:hint="cs"/>
                        <w:rtl/>
                        <w:lang w:bidi="fa-IR"/>
                      </w:rPr>
                      <w:t>شنبه</w:t>
                    </w:r>
                    <w:r>
                      <w:rPr>
                        <w:rFonts w:cs="B Mehr" w:hint="cs"/>
                        <w:rtl/>
                        <w:lang w:bidi="fa-IR"/>
                      </w:rPr>
                      <w:t xml:space="preserve"> </w:t>
                    </w:r>
                    <w:r>
                      <w:rPr>
                        <w:rFonts w:cs="B Mehr" w:hint="cs"/>
                        <w:rtl/>
                      </w:rPr>
                      <w:t xml:space="preserve">،   </w:t>
                    </w:r>
                    <w:r w:rsidR="0083359A">
                      <w:rPr>
                        <w:rFonts w:cs="B Mehr" w:hint="cs"/>
                        <w:rtl/>
                      </w:rPr>
                      <w:t>21</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5ADF0" w14:textId="77777777" w:rsidR="0083359A" w:rsidRDefault="008335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4B4E"/>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763E"/>
    <w:rsid w:val="00F17CBB"/>
    <w:rsid w:val="00F22DCF"/>
    <w:rsid w:val="00F248CE"/>
    <w:rsid w:val="00F24CA8"/>
    <w:rsid w:val="00F25495"/>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21718</TotalTime>
  <Pages>1</Pages>
  <Words>500</Words>
  <Characters>2855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566</cp:revision>
  <cp:lastPrinted>2025-04-14T09:12:00Z</cp:lastPrinted>
  <dcterms:created xsi:type="dcterms:W3CDTF">2022-10-16T08:36:00Z</dcterms:created>
  <dcterms:modified xsi:type="dcterms:W3CDTF">2025-05-11T13:22:00Z</dcterms:modified>
</cp:coreProperties>
</file>